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8F" w:rsidRPr="006A348F" w:rsidRDefault="006E1D61" w:rsidP="006A348F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28380C" w:rsidRPr="00D21178" w:rsidRDefault="00DD501A" w:rsidP="006E1D61">
      <w:pPr>
        <w:spacing w:beforeLines="50" w:before="156"/>
        <w:jc w:val="center"/>
        <w:rPr>
          <w:b/>
          <w:sz w:val="32"/>
        </w:rPr>
      </w:pPr>
      <w:r w:rsidRPr="00D21178">
        <w:rPr>
          <w:rFonts w:hint="eastAsia"/>
          <w:b/>
          <w:sz w:val="32"/>
        </w:rPr>
        <w:t>2022</w:t>
      </w:r>
      <w:r w:rsidR="006A348F" w:rsidRPr="00D21178">
        <w:rPr>
          <w:rFonts w:hint="eastAsia"/>
          <w:b/>
          <w:sz w:val="32"/>
        </w:rPr>
        <w:t>年</w:t>
      </w:r>
      <w:r w:rsidR="005807AB" w:rsidRPr="00D21178">
        <w:rPr>
          <w:rFonts w:hint="eastAsia"/>
          <w:b/>
          <w:sz w:val="32"/>
        </w:rPr>
        <w:t>福建省海洋生物增养殖与高值化利用重点实验室开放课题</w:t>
      </w:r>
      <w:r w:rsidR="006A348F" w:rsidRPr="00D21178">
        <w:rPr>
          <w:rFonts w:hint="eastAsia"/>
          <w:b/>
          <w:sz w:val="32"/>
        </w:rPr>
        <w:t>基金资助项目</w:t>
      </w:r>
      <w:r w:rsidR="00646D75" w:rsidRPr="00D21178">
        <w:rPr>
          <w:rFonts w:hint="eastAsia"/>
          <w:b/>
          <w:sz w:val="32"/>
        </w:rPr>
        <w:t>立项项目清单</w:t>
      </w:r>
    </w:p>
    <w:p w:rsidR="00646D75" w:rsidRDefault="00646D7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5811"/>
        <w:gridCol w:w="1052"/>
        <w:gridCol w:w="3104"/>
        <w:gridCol w:w="1766"/>
        <w:gridCol w:w="1766"/>
      </w:tblGrid>
      <w:tr w:rsidR="00D47C58" w:rsidTr="00C532CA">
        <w:tc>
          <w:tcPr>
            <w:tcW w:w="238" w:type="pct"/>
            <w:vAlign w:val="center"/>
          </w:tcPr>
          <w:p w:rsidR="00D47C58" w:rsidRDefault="00D47C58" w:rsidP="004039E0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50" w:type="pct"/>
            <w:vAlign w:val="center"/>
          </w:tcPr>
          <w:p w:rsidR="00D47C58" w:rsidRDefault="00D47C58" w:rsidP="004039E0"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71" w:type="pct"/>
            <w:vAlign w:val="center"/>
          </w:tcPr>
          <w:p w:rsidR="00D47C58" w:rsidRDefault="00D47C58" w:rsidP="004039E0">
            <w:pPr>
              <w:spacing w:line="360" w:lineRule="auto"/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095" w:type="pct"/>
            <w:vAlign w:val="center"/>
          </w:tcPr>
          <w:p w:rsidR="00D47C58" w:rsidRDefault="00D47C58" w:rsidP="004039E0">
            <w:pPr>
              <w:spacing w:line="360" w:lineRule="auto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623" w:type="pct"/>
            <w:vAlign w:val="center"/>
          </w:tcPr>
          <w:p w:rsidR="00D47C58" w:rsidRDefault="00D47C58" w:rsidP="004039E0">
            <w:pPr>
              <w:spacing w:line="360" w:lineRule="auto"/>
              <w:jc w:val="center"/>
            </w:pPr>
            <w:r>
              <w:rPr>
                <w:rFonts w:hint="eastAsia"/>
              </w:rPr>
              <w:t>资助额度（万元）</w:t>
            </w:r>
          </w:p>
        </w:tc>
        <w:tc>
          <w:tcPr>
            <w:tcW w:w="623" w:type="pct"/>
          </w:tcPr>
          <w:p w:rsidR="00D47C58" w:rsidRDefault="00D47C58" w:rsidP="004039E0">
            <w:pPr>
              <w:spacing w:line="360" w:lineRule="auto"/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 w:rsidR="003F3085" w:rsidTr="00D21178">
        <w:trPr>
          <w:trHeight w:val="530"/>
        </w:trPr>
        <w:tc>
          <w:tcPr>
            <w:tcW w:w="238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1</w:t>
            </w:r>
          </w:p>
        </w:tc>
        <w:tc>
          <w:tcPr>
            <w:tcW w:w="2050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活性氧对条斑紫菜单孢子发生的调控作用研究</w:t>
            </w:r>
          </w:p>
        </w:tc>
        <w:tc>
          <w:tcPr>
            <w:tcW w:w="371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高大海</w:t>
            </w:r>
          </w:p>
        </w:tc>
        <w:tc>
          <w:tcPr>
            <w:tcW w:w="1095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上海海洋大学</w:t>
            </w:r>
          </w:p>
        </w:tc>
        <w:tc>
          <w:tcPr>
            <w:tcW w:w="623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2</w:t>
            </w:r>
          </w:p>
        </w:tc>
        <w:tc>
          <w:tcPr>
            <w:tcW w:w="623" w:type="pct"/>
            <w:vAlign w:val="center"/>
          </w:tcPr>
          <w:p w:rsidR="003F3085" w:rsidRDefault="003F3085" w:rsidP="00BF3A72">
            <w:pPr>
              <w:spacing w:line="360" w:lineRule="auto"/>
              <w:jc w:val="center"/>
            </w:pPr>
            <w:r>
              <w:rPr>
                <w:rFonts w:ascii="Arial" w:hAnsi="Arial" w:cs="Arial"/>
                <w:color w:val="000000"/>
                <w:szCs w:val="21"/>
              </w:rPr>
              <w:t>20</w:t>
            </w:r>
            <w:r>
              <w:rPr>
                <w:rFonts w:ascii="Arial" w:hAnsi="Arial" w:cs="Arial" w:hint="eastAsia"/>
                <w:color w:val="000000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szCs w:val="21"/>
              </w:rPr>
              <w:t>fjscq01</w:t>
            </w:r>
          </w:p>
        </w:tc>
      </w:tr>
      <w:tr w:rsidR="003F3085" w:rsidTr="00D21178">
        <w:trPr>
          <w:trHeight w:val="552"/>
        </w:trPr>
        <w:tc>
          <w:tcPr>
            <w:tcW w:w="238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2</w:t>
            </w:r>
          </w:p>
        </w:tc>
        <w:tc>
          <w:tcPr>
            <w:tcW w:w="2050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海藻养殖区脲酶产生菌多样性及其生态功能的研究</w:t>
            </w:r>
          </w:p>
        </w:tc>
        <w:tc>
          <w:tcPr>
            <w:tcW w:w="371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裴鹏兵</w:t>
            </w:r>
          </w:p>
        </w:tc>
        <w:tc>
          <w:tcPr>
            <w:tcW w:w="1095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汕头大学</w:t>
            </w:r>
          </w:p>
        </w:tc>
        <w:tc>
          <w:tcPr>
            <w:tcW w:w="623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2</w:t>
            </w:r>
          </w:p>
        </w:tc>
        <w:tc>
          <w:tcPr>
            <w:tcW w:w="623" w:type="pct"/>
            <w:vAlign w:val="center"/>
          </w:tcPr>
          <w:p w:rsidR="003F3085" w:rsidRDefault="003F3085" w:rsidP="00BF3A72">
            <w:pPr>
              <w:jc w:val="center"/>
            </w:pPr>
            <w:r w:rsidRPr="000B2C32">
              <w:rPr>
                <w:rFonts w:ascii="Arial" w:hAnsi="Arial" w:cs="Arial"/>
                <w:color w:val="000000"/>
                <w:szCs w:val="21"/>
              </w:rPr>
              <w:t>20</w:t>
            </w:r>
            <w:r>
              <w:rPr>
                <w:rFonts w:ascii="Arial" w:hAnsi="Arial" w:cs="Arial" w:hint="eastAsia"/>
                <w:color w:val="000000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szCs w:val="21"/>
              </w:rPr>
              <w:t>fjscq0</w:t>
            </w:r>
            <w:r>
              <w:rPr>
                <w:rFonts w:ascii="Arial" w:hAnsi="Arial" w:cs="Arial" w:hint="eastAsia"/>
                <w:color w:val="000000"/>
                <w:szCs w:val="21"/>
              </w:rPr>
              <w:t>2</w:t>
            </w:r>
          </w:p>
        </w:tc>
      </w:tr>
      <w:tr w:rsidR="003F3085" w:rsidTr="00164103">
        <w:tc>
          <w:tcPr>
            <w:tcW w:w="238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3</w:t>
            </w:r>
          </w:p>
        </w:tc>
        <w:tc>
          <w:tcPr>
            <w:tcW w:w="2050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模拟消化环境</w:t>
            </w:r>
            <w:r>
              <w:rPr>
                <w:rFonts w:ascii="Calibri" w:hAnsi="Calibri"/>
                <w:color w:val="000000"/>
                <w:szCs w:val="21"/>
              </w:rPr>
              <w:t>pH</w:t>
            </w:r>
            <w:r>
              <w:rPr>
                <w:rFonts w:hint="eastAsia"/>
                <w:color w:val="000000"/>
                <w:szCs w:val="21"/>
              </w:rPr>
              <w:t>对κ</w:t>
            </w:r>
            <w:r>
              <w:rPr>
                <w:rFonts w:ascii="Calibri" w:hAnsi="Calibri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卡拉胶</w:t>
            </w:r>
            <w:r>
              <w:rPr>
                <w:rFonts w:ascii="Calibri" w:hAnsi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酪蛋白复合体系微观结构特性及分子对接模型的研究</w:t>
            </w:r>
          </w:p>
        </w:tc>
        <w:tc>
          <w:tcPr>
            <w:tcW w:w="371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郭娟娟</w:t>
            </w:r>
          </w:p>
        </w:tc>
        <w:tc>
          <w:tcPr>
            <w:tcW w:w="1095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泉州师范学院</w:t>
            </w:r>
          </w:p>
        </w:tc>
        <w:tc>
          <w:tcPr>
            <w:tcW w:w="623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2</w:t>
            </w:r>
          </w:p>
        </w:tc>
        <w:tc>
          <w:tcPr>
            <w:tcW w:w="623" w:type="pct"/>
            <w:vAlign w:val="center"/>
          </w:tcPr>
          <w:p w:rsidR="003F3085" w:rsidRDefault="003F3085" w:rsidP="00BF3A72">
            <w:pPr>
              <w:jc w:val="center"/>
            </w:pPr>
            <w:r w:rsidRPr="000B2C32">
              <w:rPr>
                <w:rFonts w:ascii="Arial" w:hAnsi="Arial" w:cs="Arial"/>
                <w:color w:val="000000"/>
                <w:szCs w:val="21"/>
              </w:rPr>
              <w:t>20</w:t>
            </w:r>
            <w:r>
              <w:rPr>
                <w:rFonts w:ascii="Arial" w:hAnsi="Arial" w:cs="Arial" w:hint="eastAsia"/>
                <w:color w:val="000000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szCs w:val="21"/>
              </w:rPr>
              <w:t>fjscq0</w:t>
            </w:r>
            <w:r>
              <w:rPr>
                <w:rFonts w:ascii="Arial" w:hAnsi="Arial" w:cs="Arial" w:hint="eastAsia"/>
                <w:color w:val="000000"/>
                <w:szCs w:val="21"/>
              </w:rPr>
              <w:t>3</w:t>
            </w:r>
          </w:p>
        </w:tc>
      </w:tr>
      <w:tr w:rsidR="003F3085" w:rsidTr="00D21178">
        <w:trPr>
          <w:trHeight w:val="484"/>
        </w:trPr>
        <w:tc>
          <w:tcPr>
            <w:tcW w:w="238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4</w:t>
            </w:r>
          </w:p>
        </w:tc>
        <w:tc>
          <w:tcPr>
            <w:tcW w:w="2050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基于生物信息学与分子对接研究大黄鱼降血压肽</w:t>
            </w:r>
          </w:p>
        </w:tc>
        <w:tc>
          <w:tcPr>
            <w:tcW w:w="371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陈继承</w:t>
            </w:r>
          </w:p>
        </w:tc>
        <w:tc>
          <w:tcPr>
            <w:tcW w:w="1095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福建农林大学</w:t>
            </w:r>
          </w:p>
        </w:tc>
        <w:tc>
          <w:tcPr>
            <w:tcW w:w="623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2</w:t>
            </w:r>
          </w:p>
        </w:tc>
        <w:tc>
          <w:tcPr>
            <w:tcW w:w="623" w:type="pct"/>
            <w:vAlign w:val="center"/>
          </w:tcPr>
          <w:p w:rsidR="003F3085" w:rsidRDefault="003F3085" w:rsidP="00BF3A72">
            <w:pPr>
              <w:jc w:val="center"/>
            </w:pPr>
            <w:r w:rsidRPr="000B2C32">
              <w:rPr>
                <w:rFonts w:ascii="Arial" w:hAnsi="Arial" w:cs="Arial"/>
                <w:color w:val="000000"/>
                <w:szCs w:val="21"/>
              </w:rPr>
              <w:t>20</w:t>
            </w:r>
            <w:r>
              <w:rPr>
                <w:rFonts w:ascii="Arial" w:hAnsi="Arial" w:cs="Arial" w:hint="eastAsia"/>
                <w:color w:val="000000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szCs w:val="21"/>
              </w:rPr>
              <w:t>fjscq0</w:t>
            </w:r>
            <w:r>
              <w:rPr>
                <w:rFonts w:ascii="Arial" w:hAnsi="Arial" w:cs="Arial" w:hint="eastAsia"/>
                <w:color w:val="000000"/>
                <w:szCs w:val="21"/>
              </w:rPr>
              <w:t>4</w:t>
            </w:r>
          </w:p>
        </w:tc>
      </w:tr>
      <w:tr w:rsidR="003F3085" w:rsidTr="00D21178">
        <w:trPr>
          <w:trHeight w:val="562"/>
        </w:trPr>
        <w:tc>
          <w:tcPr>
            <w:tcW w:w="238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5</w:t>
            </w:r>
          </w:p>
        </w:tc>
        <w:tc>
          <w:tcPr>
            <w:tcW w:w="2050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不同</w:t>
            </w:r>
            <w:proofErr w:type="gramStart"/>
            <w:r>
              <w:rPr>
                <w:rFonts w:hint="eastAsia"/>
                <w:color w:val="000000"/>
                <w:szCs w:val="21"/>
              </w:rPr>
              <w:t>提取方法对坛紫菜</w:t>
            </w:r>
            <w:proofErr w:type="gramEnd"/>
            <w:r>
              <w:rPr>
                <w:rFonts w:hint="eastAsia"/>
                <w:color w:val="000000"/>
                <w:szCs w:val="21"/>
              </w:rPr>
              <w:t>多糖结构和活性的研究</w:t>
            </w:r>
          </w:p>
        </w:tc>
        <w:tc>
          <w:tcPr>
            <w:tcW w:w="371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郑明静</w:t>
            </w:r>
          </w:p>
        </w:tc>
        <w:tc>
          <w:tcPr>
            <w:tcW w:w="1095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集美大学</w:t>
            </w:r>
          </w:p>
        </w:tc>
        <w:tc>
          <w:tcPr>
            <w:tcW w:w="623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2</w:t>
            </w:r>
          </w:p>
        </w:tc>
        <w:tc>
          <w:tcPr>
            <w:tcW w:w="623" w:type="pct"/>
            <w:vAlign w:val="center"/>
          </w:tcPr>
          <w:p w:rsidR="003F3085" w:rsidRDefault="003F3085" w:rsidP="00BF3A72">
            <w:pPr>
              <w:jc w:val="center"/>
            </w:pPr>
            <w:r w:rsidRPr="003B59DC">
              <w:rPr>
                <w:rFonts w:ascii="Arial" w:hAnsi="Arial" w:cs="Arial"/>
                <w:color w:val="000000"/>
                <w:szCs w:val="21"/>
              </w:rPr>
              <w:t>20</w:t>
            </w:r>
            <w:r>
              <w:rPr>
                <w:rFonts w:ascii="Arial" w:hAnsi="Arial" w:cs="Arial" w:hint="eastAsia"/>
                <w:color w:val="000000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szCs w:val="21"/>
              </w:rPr>
              <w:t>fjscq0</w:t>
            </w:r>
            <w:r>
              <w:rPr>
                <w:rFonts w:ascii="Arial" w:hAnsi="Arial" w:cs="Arial" w:hint="eastAsia"/>
                <w:color w:val="000000"/>
                <w:szCs w:val="21"/>
              </w:rPr>
              <w:t>5</w:t>
            </w:r>
          </w:p>
        </w:tc>
      </w:tr>
      <w:tr w:rsidR="003F3085" w:rsidTr="00D21178">
        <w:trPr>
          <w:trHeight w:val="556"/>
        </w:trPr>
        <w:tc>
          <w:tcPr>
            <w:tcW w:w="238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6</w:t>
            </w:r>
          </w:p>
        </w:tc>
        <w:tc>
          <w:tcPr>
            <w:tcW w:w="2050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不同采收期紫菜多酚提取、纯化及体外抑制</w:t>
            </w:r>
            <w:proofErr w:type="gramStart"/>
            <w:r>
              <w:rPr>
                <w:rFonts w:hint="eastAsia"/>
                <w:color w:val="000000"/>
                <w:szCs w:val="21"/>
              </w:rPr>
              <w:t>菌</w:t>
            </w:r>
            <w:proofErr w:type="gramEnd"/>
            <w:r>
              <w:rPr>
                <w:rFonts w:hint="eastAsia"/>
                <w:color w:val="000000"/>
                <w:szCs w:val="21"/>
              </w:rPr>
              <w:t>活性研究</w:t>
            </w:r>
          </w:p>
        </w:tc>
        <w:tc>
          <w:tcPr>
            <w:tcW w:w="371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张伯超</w:t>
            </w:r>
          </w:p>
        </w:tc>
        <w:tc>
          <w:tcPr>
            <w:tcW w:w="1095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厦门医学院</w:t>
            </w:r>
          </w:p>
        </w:tc>
        <w:tc>
          <w:tcPr>
            <w:tcW w:w="623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2</w:t>
            </w:r>
          </w:p>
        </w:tc>
        <w:tc>
          <w:tcPr>
            <w:tcW w:w="623" w:type="pct"/>
            <w:vAlign w:val="center"/>
          </w:tcPr>
          <w:p w:rsidR="003F3085" w:rsidRDefault="003F3085" w:rsidP="00BF3A72">
            <w:pPr>
              <w:jc w:val="center"/>
            </w:pPr>
            <w:r w:rsidRPr="003B59DC">
              <w:rPr>
                <w:rFonts w:ascii="Arial" w:hAnsi="Arial" w:cs="Arial"/>
                <w:color w:val="000000"/>
                <w:szCs w:val="21"/>
              </w:rPr>
              <w:t>20</w:t>
            </w:r>
            <w:r>
              <w:rPr>
                <w:rFonts w:ascii="Arial" w:hAnsi="Arial" w:cs="Arial" w:hint="eastAsia"/>
                <w:color w:val="000000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szCs w:val="21"/>
              </w:rPr>
              <w:t>fjscq0</w:t>
            </w:r>
            <w:r>
              <w:rPr>
                <w:rFonts w:ascii="Arial" w:hAnsi="Arial" w:cs="Arial" w:hint="eastAsia"/>
                <w:color w:val="000000"/>
                <w:szCs w:val="21"/>
              </w:rPr>
              <w:t>6</w:t>
            </w:r>
          </w:p>
        </w:tc>
      </w:tr>
      <w:tr w:rsidR="003F3085" w:rsidTr="00D21178">
        <w:trPr>
          <w:trHeight w:val="550"/>
        </w:trPr>
        <w:tc>
          <w:tcPr>
            <w:tcW w:w="238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7</w:t>
            </w:r>
          </w:p>
        </w:tc>
        <w:tc>
          <w:tcPr>
            <w:tcW w:w="2050" w:type="pct"/>
            <w:vAlign w:val="center"/>
          </w:tcPr>
          <w:p w:rsidR="003F3085" w:rsidRDefault="003F308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miRNA</w:t>
            </w:r>
            <w:proofErr w:type="spellEnd"/>
            <w:r>
              <w:rPr>
                <w:rFonts w:hint="eastAsia"/>
                <w:color w:val="000000"/>
                <w:szCs w:val="21"/>
              </w:rPr>
              <w:t>与转录因子通过</w:t>
            </w:r>
            <w:r>
              <w:rPr>
                <w:rFonts w:ascii="Calibri" w:hAnsi="Calibri"/>
                <w:color w:val="000000"/>
                <w:szCs w:val="21"/>
              </w:rPr>
              <w:t>Cyp19a1</w:t>
            </w:r>
            <w:r>
              <w:rPr>
                <w:rFonts w:hint="eastAsia"/>
                <w:color w:val="000000"/>
                <w:szCs w:val="21"/>
              </w:rPr>
              <w:t>调控中华鳖性别分化研究</w:t>
            </w:r>
          </w:p>
        </w:tc>
        <w:tc>
          <w:tcPr>
            <w:tcW w:w="371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马晓</w:t>
            </w:r>
          </w:p>
        </w:tc>
        <w:tc>
          <w:tcPr>
            <w:tcW w:w="1095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河南师范大学</w:t>
            </w:r>
          </w:p>
        </w:tc>
        <w:tc>
          <w:tcPr>
            <w:tcW w:w="623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2</w:t>
            </w:r>
          </w:p>
        </w:tc>
        <w:tc>
          <w:tcPr>
            <w:tcW w:w="623" w:type="pct"/>
            <w:vAlign w:val="center"/>
          </w:tcPr>
          <w:p w:rsidR="003F3085" w:rsidRDefault="003F3085" w:rsidP="00BF3A72">
            <w:pPr>
              <w:jc w:val="center"/>
            </w:pPr>
            <w:r w:rsidRPr="003B59DC">
              <w:rPr>
                <w:rFonts w:ascii="Arial" w:hAnsi="Arial" w:cs="Arial"/>
                <w:color w:val="000000"/>
                <w:szCs w:val="21"/>
              </w:rPr>
              <w:t>20</w:t>
            </w:r>
            <w:r>
              <w:rPr>
                <w:rFonts w:ascii="Arial" w:hAnsi="Arial" w:cs="Arial" w:hint="eastAsia"/>
                <w:color w:val="000000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szCs w:val="21"/>
              </w:rPr>
              <w:t>fjscq</w:t>
            </w:r>
            <w:r>
              <w:rPr>
                <w:rFonts w:ascii="Arial" w:hAnsi="Arial" w:cs="Arial" w:hint="eastAsia"/>
                <w:color w:val="000000"/>
                <w:szCs w:val="21"/>
              </w:rPr>
              <w:t>07</w:t>
            </w:r>
          </w:p>
        </w:tc>
      </w:tr>
      <w:tr w:rsidR="003F3085" w:rsidTr="00D21178">
        <w:trPr>
          <w:trHeight w:val="558"/>
        </w:trPr>
        <w:tc>
          <w:tcPr>
            <w:tcW w:w="238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8</w:t>
            </w:r>
          </w:p>
        </w:tc>
        <w:tc>
          <w:tcPr>
            <w:tcW w:w="2050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海带降血压</w:t>
            </w:r>
            <w:proofErr w:type="gramStart"/>
            <w:r>
              <w:rPr>
                <w:rFonts w:hint="eastAsia"/>
                <w:color w:val="000000"/>
                <w:szCs w:val="21"/>
              </w:rPr>
              <w:t>肽</w:t>
            </w:r>
            <w:proofErr w:type="gramEnd"/>
            <w:r>
              <w:rPr>
                <w:rFonts w:hint="eastAsia"/>
                <w:color w:val="000000"/>
                <w:szCs w:val="21"/>
              </w:rPr>
              <w:t>超声酸酶偶联制备</w:t>
            </w:r>
            <w:proofErr w:type="gramStart"/>
            <w:r>
              <w:rPr>
                <w:rFonts w:hint="eastAsia"/>
                <w:color w:val="000000"/>
                <w:szCs w:val="21"/>
              </w:rPr>
              <w:t>及其构效关系</w:t>
            </w:r>
            <w:proofErr w:type="gramEnd"/>
            <w:r>
              <w:rPr>
                <w:rFonts w:hint="eastAsia"/>
                <w:color w:val="000000"/>
                <w:szCs w:val="21"/>
              </w:rPr>
              <w:t>研究</w:t>
            </w:r>
          </w:p>
        </w:tc>
        <w:tc>
          <w:tcPr>
            <w:tcW w:w="371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林毅雄</w:t>
            </w:r>
          </w:p>
        </w:tc>
        <w:tc>
          <w:tcPr>
            <w:tcW w:w="1095" w:type="pct"/>
            <w:vAlign w:val="center"/>
          </w:tcPr>
          <w:p w:rsidR="003F3085" w:rsidRDefault="003F30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闽南师范大学</w:t>
            </w:r>
          </w:p>
        </w:tc>
        <w:tc>
          <w:tcPr>
            <w:tcW w:w="623" w:type="pct"/>
            <w:vAlign w:val="center"/>
          </w:tcPr>
          <w:p w:rsidR="003F3085" w:rsidRPr="00AE18C4" w:rsidRDefault="003F3085" w:rsidP="00AE18C4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E18C4">
              <w:rPr>
                <w:rFonts w:asciiTheme="minorEastAsia" w:hAnsiTheme="minorEastAsia" w:cs="Tahoma" w:hint="eastAsia"/>
                <w:color w:val="000000"/>
                <w:szCs w:val="21"/>
              </w:rPr>
              <w:t>2</w:t>
            </w:r>
          </w:p>
        </w:tc>
        <w:tc>
          <w:tcPr>
            <w:tcW w:w="623" w:type="pct"/>
            <w:vAlign w:val="center"/>
          </w:tcPr>
          <w:p w:rsidR="003F3085" w:rsidRDefault="003F3085" w:rsidP="00BF3A72">
            <w:pPr>
              <w:jc w:val="center"/>
            </w:pPr>
            <w:r w:rsidRPr="003B59DC">
              <w:rPr>
                <w:rFonts w:ascii="Arial" w:hAnsi="Arial" w:cs="Arial"/>
                <w:color w:val="000000"/>
                <w:szCs w:val="21"/>
              </w:rPr>
              <w:t>20</w:t>
            </w:r>
            <w:r>
              <w:rPr>
                <w:rFonts w:ascii="Arial" w:hAnsi="Arial" w:cs="Arial" w:hint="eastAsia"/>
                <w:color w:val="000000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szCs w:val="21"/>
              </w:rPr>
              <w:t>fjscq0</w:t>
            </w:r>
            <w:r>
              <w:rPr>
                <w:rFonts w:ascii="Arial" w:hAnsi="Arial" w:cs="Arial" w:hint="eastAsia"/>
                <w:color w:val="000000"/>
                <w:szCs w:val="21"/>
              </w:rPr>
              <w:t>8</w:t>
            </w:r>
          </w:p>
        </w:tc>
      </w:tr>
    </w:tbl>
    <w:p w:rsidR="00646D75" w:rsidRDefault="00646D75">
      <w:bookmarkStart w:id="0" w:name="_GoBack"/>
      <w:bookmarkEnd w:id="0"/>
    </w:p>
    <w:sectPr w:rsidR="00646D75" w:rsidSect="00D47C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DD" w:rsidRDefault="00C250DD" w:rsidP="00D47C58">
      <w:r>
        <w:separator/>
      </w:r>
    </w:p>
  </w:endnote>
  <w:endnote w:type="continuationSeparator" w:id="0">
    <w:p w:rsidR="00C250DD" w:rsidRDefault="00C250DD" w:rsidP="00D4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DD" w:rsidRDefault="00C250DD" w:rsidP="00D47C58">
      <w:r>
        <w:separator/>
      </w:r>
    </w:p>
  </w:footnote>
  <w:footnote w:type="continuationSeparator" w:id="0">
    <w:p w:rsidR="00C250DD" w:rsidRDefault="00C250DD" w:rsidP="00D47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75"/>
    <w:rsid w:val="00034B07"/>
    <w:rsid w:val="000A4B21"/>
    <w:rsid w:val="000F6F78"/>
    <w:rsid w:val="0013084B"/>
    <w:rsid w:val="00164103"/>
    <w:rsid w:val="00235A16"/>
    <w:rsid w:val="0028380C"/>
    <w:rsid w:val="0032666E"/>
    <w:rsid w:val="00355B05"/>
    <w:rsid w:val="003F3085"/>
    <w:rsid w:val="00554400"/>
    <w:rsid w:val="005711C0"/>
    <w:rsid w:val="005807AB"/>
    <w:rsid w:val="005B41FF"/>
    <w:rsid w:val="00646D75"/>
    <w:rsid w:val="006A348F"/>
    <w:rsid w:val="006E1D61"/>
    <w:rsid w:val="006F2B12"/>
    <w:rsid w:val="0072724B"/>
    <w:rsid w:val="008B27FC"/>
    <w:rsid w:val="009C23AF"/>
    <w:rsid w:val="009D0F37"/>
    <w:rsid w:val="00AE18C4"/>
    <w:rsid w:val="00B64E74"/>
    <w:rsid w:val="00BF3A72"/>
    <w:rsid w:val="00C250DD"/>
    <w:rsid w:val="00C532CA"/>
    <w:rsid w:val="00C626BF"/>
    <w:rsid w:val="00C6716D"/>
    <w:rsid w:val="00D21178"/>
    <w:rsid w:val="00D22F80"/>
    <w:rsid w:val="00D376BC"/>
    <w:rsid w:val="00D47C58"/>
    <w:rsid w:val="00D53612"/>
    <w:rsid w:val="00DA5DC6"/>
    <w:rsid w:val="00DD501A"/>
    <w:rsid w:val="00E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7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7C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7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7C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7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7C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7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7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福建省水产研究所</dc:creator>
  <cp:lastModifiedBy>User</cp:lastModifiedBy>
  <cp:revision>5</cp:revision>
  <cp:lastPrinted>2022-11-21T02:32:00Z</cp:lastPrinted>
  <dcterms:created xsi:type="dcterms:W3CDTF">2022-11-21T02:28:00Z</dcterms:created>
  <dcterms:modified xsi:type="dcterms:W3CDTF">2022-11-21T03:21:00Z</dcterms:modified>
</cp:coreProperties>
</file>